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4"/>
        <w:gridCol w:w="1721"/>
        <w:gridCol w:w="5085"/>
      </w:tblGrid>
      <w:tr w:rsidR="000B6192" w:rsidRPr="006A64EC" w14:paraId="509F7FCA" w14:textId="77777777" w:rsidTr="000B6192">
        <w:tc>
          <w:tcPr>
            <w:tcW w:w="5193" w:type="dxa"/>
            <w:gridSpan w:val="2"/>
          </w:tcPr>
          <w:p w14:paraId="481B870B" w14:textId="77777777" w:rsidR="000B6192" w:rsidRPr="006A64EC" w:rsidRDefault="00C6018C" w:rsidP="000B6192">
            <w:pPr>
              <w:rPr>
                <w:rFonts w:asciiTheme="majorHAnsi" w:hAnsiTheme="majorHAnsi"/>
                <w:b/>
                <w:noProof/>
                <w:sz w:val="22"/>
              </w:rPr>
            </w:pPr>
            <w:r>
              <w:rPr>
                <w:rFonts w:asciiTheme="majorHAnsi" w:hAnsiTheme="majorHAnsi"/>
                <w:b/>
                <w:noProof/>
                <w:sz w:val="22"/>
              </w:rPr>
              <w:t xml:space="preserve">Honors </w:t>
            </w:r>
            <w:r w:rsidR="00533A27">
              <w:rPr>
                <w:rFonts w:asciiTheme="majorHAnsi" w:hAnsiTheme="majorHAnsi"/>
                <w:b/>
                <w:noProof/>
                <w:sz w:val="22"/>
              </w:rPr>
              <w:t xml:space="preserve">/ On-level </w:t>
            </w:r>
            <w:r>
              <w:rPr>
                <w:rFonts w:asciiTheme="majorHAnsi" w:hAnsiTheme="majorHAnsi"/>
                <w:b/>
                <w:noProof/>
                <w:sz w:val="22"/>
              </w:rPr>
              <w:t>Geometry</w:t>
            </w:r>
            <w:r w:rsidR="001258CF" w:rsidRPr="006A64EC">
              <w:rPr>
                <w:rFonts w:asciiTheme="majorHAnsi" w:hAnsiTheme="majorHAnsi"/>
                <w:b/>
                <w:noProof/>
                <w:sz w:val="22"/>
              </w:rPr>
              <w:t xml:space="preserve"> Syllabus</w:t>
            </w:r>
          </w:p>
          <w:p w14:paraId="631895EC" w14:textId="77777777" w:rsidR="000B6192" w:rsidRPr="006A64EC" w:rsidRDefault="000B6192" w:rsidP="001258CF">
            <w:pPr>
              <w:rPr>
                <w:rFonts w:asciiTheme="majorHAnsi" w:hAnsiTheme="majorHAnsi"/>
                <w:b/>
                <w:noProof/>
                <w:sz w:val="22"/>
              </w:rPr>
            </w:pPr>
          </w:p>
        </w:tc>
        <w:tc>
          <w:tcPr>
            <w:tcW w:w="5193" w:type="dxa"/>
          </w:tcPr>
          <w:p w14:paraId="413C7246" w14:textId="2C7FE5FD" w:rsidR="000B6192" w:rsidRPr="006A64EC" w:rsidRDefault="000B6192" w:rsidP="000B6192">
            <w:pPr>
              <w:jc w:val="right"/>
              <w:rPr>
                <w:rFonts w:asciiTheme="majorHAnsi" w:hAnsiTheme="majorHAnsi"/>
                <w:b/>
                <w:sz w:val="22"/>
                <w:szCs w:val="28"/>
              </w:rPr>
            </w:pPr>
            <w:r w:rsidRPr="006A64EC">
              <w:rPr>
                <w:rFonts w:asciiTheme="majorHAnsi" w:hAnsiTheme="majorHAnsi"/>
                <w:b/>
                <w:sz w:val="22"/>
                <w:szCs w:val="28"/>
              </w:rPr>
              <w:t xml:space="preserve">Mr. </w:t>
            </w:r>
            <w:r w:rsidR="00402D88">
              <w:rPr>
                <w:rFonts w:asciiTheme="majorHAnsi" w:hAnsiTheme="majorHAnsi"/>
                <w:b/>
                <w:sz w:val="22"/>
                <w:szCs w:val="28"/>
              </w:rPr>
              <w:t>Gardener</w:t>
            </w:r>
          </w:p>
          <w:p w14:paraId="46F8C4B7" w14:textId="3E3AAE7B" w:rsidR="000B6192" w:rsidRPr="006A64EC" w:rsidRDefault="00402D88" w:rsidP="000B6192">
            <w:pPr>
              <w:jc w:val="right"/>
              <w:rPr>
                <w:rFonts w:asciiTheme="majorHAnsi" w:hAnsiTheme="majorHAnsi"/>
                <w:b/>
                <w:noProof/>
                <w:sz w:val="22"/>
              </w:rPr>
            </w:pPr>
            <w:hyperlink r:id="rId5" w:history="1">
              <w:r w:rsidRPr="00567D64">
                <w:rPr>
                  <w:rStyle w:val="Hyperlink"/>
                  <w:rFonts w:asciiTheme="majorHAnsi" w:hAnsiTheme="majorHAnsi"/>
                  <w:sz w:val="22"/>
                  <w:szCs w:val="28"/>
                </w:rPr>
                <w:t>ggardener@paudling.k12.ga.us</w:t>
              </w:r>
            </w:hyperlink>
          </w:p>
        </w:tc>
      </w:tr>
      <w:tr w:rsidR="000B6192" w:rsidRPr="00440576" w14:paraId="1B338E02" w14:textId="77777777" w:rsidTr="000B6192">
        <w:tc>
          <w:tcPr>
            <w:tcW w:w="10386" w:type="dxa"/>
            <w:gridSpan w:val="3"/>
          </w:tcPr>
          <w:p w14:paraId="11F64406" w14:textId="77777777" w:rsidR="000B6192" w:rsidRPr="00440576" w:rsidRDefault="000B6192" w:rsidP="00440576">
            <w:pPr>
              <w:spacing w:before="120" w:after="120"/>
              <w:rPr>
                <w:rFonts w:asciiTheme="majorHAnsi" w:hAnsiTheme="majorHAnsi"/>
                <w:b/>
                <w:sz w:val="20"/>
                <w:szCs w:val="20"/>
              </w:rPr>
            </w:pPr>
            <w:r w:rsidRPr="00440576">
              <w:rPr>
                <w:rFonts w:asciiTheme="majorHAnsi" w:hAnsiTheme="majorHAnsi"/>
                <w:b/>
                <w:sz w:val="20"/>
                <w:szCs w:val="20"/>
              </w:rPr>
              <w:t>Course Overview:</w:t>
            </w:r>
          </w:p>
          <w:p w14:paraId="2F9C5347" w14:textId="77766645" w:rsidR="000B6192" w:rsidRPr="00440576" w:rsidRDefault="00440576" w:rsidP="00440576">
            <w:pPr>
              <w:spacing w:before="120" w:after="120"/>
              <w:rPr>
                <w:rFonts w:asciiTheme="majorHAnsi" w:hAnsiTheme="majorHAnsi"/>
                <w:b/>
                <w:sz w:val="20"/>
                <w:szCs w:val="20"/>
              </w:rPr>
            </w:pPr>
            <w:r w:rsidRPr="00440576">
              <w:rPr>
                <w:rFonts w:asciiTheme="majorHAnsi" w:hAnsiTheme="majorHAnsi"/>
                <w:sz w:val="20"/>
                <w:szCs w:val="20"/>
              </w:rPr>
              <w:t xml:space="preserve">Geometry is the second course in a sequence of </w:t>
            </w:r>
            <w:r w:rsidR="000977B9">
              <w:rPr>
                <w:rFonts w:asciiTheme="majorHAnsi" w:hAnsiTheme="majorHAnsi"/>
                <w:sz w:val="20"/>
                <w:szCs w:val="20"/>
              </w:rPr>
              <w:t xml:space="preserve">four </w:t>
            </w:r>
            <w:r w:rsidRPr="00440576">
              <w:rPr>
                <w:rFonts w:asciiTheme="majorHAnsi" w:hAnsiTheme="majorHAnsi"/>
                <w:sz w:val="20"/>
                <w:szCs w:val="20"/>
              </w:rPr>
              <w:t>required high school courses designed to ensure career and college readiness. The course represents a discrete study of geometry with correlated statistics applications.</w:t>
            </w:r>
            <w:r w:rsidRPr="00440576">
              <w:rPr>
                <w:rStyle w:val="Strong"/>
                <w:rFonts w:asciiTheme="majorHAnsi" w:hAnsiTheme="majorHAnsi"/>
                <w:bCs w:val="0"/>
                <w:sz w:val="20"/>
                <w:szCs w:val="20"/>
              </w:rPr>
              <w:t xml:space="preserve"> </w:t>
            </w:r>
            <w:r w:rsidRPr="00440576">
              <w:rPr>
                <w:rFonts w:asciiTheme="majorHAnsi" w:hAnsiTheme="majorHAnsi"/>
                <w:sz w:val="20"/>
                <w:szCs w:val="20"/>
              </w:rPr>
              <w:t>This course will consist of the following 6 units: Transformations in the Coordinate Plane, Similarity, Congruence, and Proofs, Right Triangle Trigonometry, Circles and Volume, Geometric and Algebraic Connections, and Applications of Probability</w:t>
            </w:r>
          </w:p>
        </w:tc>
      </w:tr>
      <w:tr w:rsidR="000B6192" w:rsidRPr="00440576" w14:paraId="59B4976D" w14:textId="77777777" w:rsidTr="000B6192">
        <w:tc>
          <w:tcPr>
            <w:tcW w:w="10386" w:type="dxa"/>
            <w:gridSpan w:val="3"/>
          </w:tcPr>
          <w:p w14:paraId="23DB9395" w14:textId="77777777" w:rsidR="000B6192" w:rsidRPr="00440576" w:rsidRDefault="000B6192" w:rsidP="000B6192">
            <w:pPr>
              <w:pStyle w:val="Heading5"/>
              <w:rPr>
                <w:rFonts w:asciiTheme="majorHAnsi" w:hAnsiTheme="majorHAnsi" w:cs="Arial"/>
                <w:sz w:val="20"/>
                <w:u w:val="none"/>
              </w:rPr>
            </w:pPr>
            <w:r w:rsidRPr="00440576">
              <w:rPr>
                <w:rFonts w:ascii="Cambria" w:hAnsi="Cambria" w:cs="Arial"/>
                <w:sz w:val="20"/>
                <w:u w:val="none"/>
              </w:rPr>
              <w:t>Classroom Expectations</w:t>
            </w:r>
            <w:r w:rsidRPr="00440576">
              <w:rPr>
                <w:rFonts w:asciiTheme="majorHAnsi" w:hAnsiTheme="majorHAnsi" w:cs="Arial"/>
                <w:sz w:val="20"/>
                <w:u w:val="none"/>
              </w:rPr>
              <w:t>:</w:t>
            </w:r>
          </w:p>
          <w:p w14:paraId="39B97F17" w14:textId="77777777" w:rsidR="004273ED" w:rsidRPr="00440576" w:rsidRDefault="004273ED" w:rsidP="004273ED">
            <w:pPr>
              <w:rPr>
                <w:sz w:val="20"/>
                <w:szCs w:val="20"/>
              </w:rPr>
            </w:pPr>
          </w:p>
          <w:p w14:paraId="1C4D6588" w14:textId="6277BA3E" w:rsidR="004273ED" w:rsidRPr="00440576" w:rsidRDefault="004273ED" w:rsidP="000B6192">
            <w:pPr>
              <w:numPr>
                <w:ilvl w:val="0"/>
                <w:numId w:val="19"/>
              </w:numPr>
              <w:tabs>
                <w:tab w:val="clear" w:pos="360"/>
              </w:tabs>
              <w:ind w:left="720" w:right="-36"/>
              <w:rPr>
                <w:rFonts w:ascii="Cambria" w:hAnsi="Cambria" w:cs="Arial"/>
                <w:b/>
                <w:sz w:val="20"/>
                <w:szCs w:val="20"/>
              </w:rPr>
            </w:pPr>
            <w:r w:rsidRPr="00440576">
              <w:rPr>
                <w:rFonts w:ascii="Cambria" w:hAnsi="Cambria" w:cs="Arial"/>
                <w:b/>
                <w:sz w:val="20"/>
                <w:szCs w:val="20"/>
              </w:rPr>
              <w:t>DO NOT HAVE YOUR CELLPHONE OUT DURING CLASS!</w:t>
            </w:r>
            <w:r w:rsidR="00402D88">
              <w:rPr>
                <w:rFonts w:ascii="Cambria" w:hAnsi="Cambria" w:cs="Arial"/>
                <w:b/>
                <w:sz w:val="20"/>
                <w:szCs w:val="20"/>
              </w:rPr>
              <w:t xml:space="preserve"> (unless we are using it as part of the lesson)</w:t>
            </w:r>
          </w:p>
          <w:p w14:paraId="603CD384" w14:textId="77777777" w:rsidR="00424E37" w:rsidRPr="00440576" w:rsidRDefault="00424E37" w:rsidP="00424E37">
            <w:pPr>
              <w:numPr>
                <w:ilvl w:val="0"/>
                <w:numId w:val="13"/>
              </w:numPr>
              <w:rPr>
                <w:rFonts w:asciiTheme="majorHAnsi" w:hAnsiTheme="majorHAnsi"/>
                <w:sz w:val="20"/>
                <w:szCs w:val="20"/>
              </w:rPr>
            </w:pPr>
            <w:r w:rsidRPr="00440576">
              <w:rPr>
                <w:rFonts w:asciiTheme="majorHAnsi" w:hAnsiTheme="majorHAnsi"/>
                <w:sz w:val="20"/>
                <w:szCs w:val="20"/>
              </w:rPr>
              <w:t>Show your work to receive full credit.</w:t>
            </w:r>
          </w:p>
          <w:p w14:paraId="188B693D" w14:textId="77777777" w:rsidR="000B6192" w:rsidRPr="00440576" w:rsidRDefault="007560D7" w:rsidP="00B61026">
            <w:pPr>
              <w:numPr>
                <w:ilvl w:val="0"/>
                <w:numId w:val="19"/>
              </w:numPr>
              <w:tabs>
                <w:tab w:val="clear" w:pos="360"/>
              </w:tabs>
              <w:ind w:left="720" w:right="-36"/>
              <w:rPr>
                <w:rFonts w:asciiTheme="majorHAnsi" w:hAnsiTheme="majorHAnsi" w:cs="Arial"/>
                <w:sz w:val="20"/>
                <w:szCs w:val="20"/>
              </w:rPr>
            </w:pPr>
            <w:r w:rsidRPr="00440576">
              <w:rPr>
                <w:rFonts w:ascii="Cambria" w:hAnsi="Cambria" w:cs="Arial"/>
                <w:sz w:val="20"/>
                <w:szCs w:val="20"/>
              </w:rPr>
              <w:t xml:space="preserve">Be respectful, </w:t>
            </w:r>
            <w:r w:rsidR="000B6192" w:rsidRPr="00440576">
              <w:rPr>
                <w:rFonts w:ascii="Cambria" w:hAnsi="Cambria" w:cs="Arial"/>
                <w:sz w:val="20"/>
                <w:szCs w:val="20"/>
              </w:rPr>
              <w:t>on t</w:t>
            </w:r>
            <w:r w:rsidR="000B6192" w:rsidRPr="00440576">
              <w:rPr>
                <w:rFonts w:asciiTheme="majorHAnsi" w:hAnsiTheme="majorHAnsi" w:cs="Arial"/>
                <w:sz w:val="20"/>
                <w:szCs w:val="20"/>
              </w:rPr>
              <w:t>ime and come to class prepared.</w:t>
            </w:r>
          </w:p>
          <w:p w14:paraId="37510D6C" w14:textId="77777777" w:rsidR="000B6192" w:rsidRPr="00440576" w:rsidRDefault="000B6192" w:rsidP="000B6192">
            <w:pPr>
              <w:numPr>
                <w:ilvl w:val="0"/>
                <w:numId w:val="19"/>
              </w:numPr>
              <w:tabs>
                <w:tab w:val="clear" w:pos="360"/>
              </w:tabs>
              <w:ind w:left="720" w:right="-36"/>
              <w:rPr>
                <w:rFonts w:ascii="Cambria" w:hAnsi="Cambria" w:cs="Arial"/>
                <w:sz w:val="20"/>
                <w:szCs w:val="20"/>
              </w:rPr>
            </w:pPr>
            <w:r w:rsidRPr="00440576">
              <w:rPr>
                <w:rFonts w:ascii="Cambria" w:hAnsi="Cambria" w:cs="Arial"/>
                <w:sz w:val="20"/>
                <w:szCs w:val="20"/>
              </w:rPr>
              <w:t>Stay focused and on task</w:t>
            </w:r>
            <w:r w:rsidRPr="00440576">
              <w:rPr>
                <w:rFonts w:asciiTheme="majorHAnsi" w:hAnsiTheme="majorHAnsi" w:cs="Arial"/>
                <w:sz w:val="20"/>
                <w:szCs w:val="20"/>
              </w:rPr>
              <w:t xml:space="preserve">, due to the high expectation of class </w:t>
            </w:r>
            <w:r w:rsidRPr="00440576">
              <w:rPr>
                <w:rFonts w:ascii="Cambria" w:hAnsi="Cambria" w:cs="Arial"/>
                <w:sz w:val="20"/>
                <w:szCs w:val="20"/>
              </w:rPr>
              <w:t>participat</w:t>
            </w:r>
            <w:r w:rsidRPr="00440576">
              <w:rPr>
                <w:rFonts w:asciiTheme="majorHAnsi" w:hAnsiTheme="majorHAnsi" w:cs="Arial"/>
                <w:sz w:val="20"/>
                <w:szCs w:val="20"/>
              </w:rPr>
              <w:t>ion</w:t>
            </w:r>
            <w:r w:rsidRPr="00440576">
              <w:rPr>
                <w:rFonts w:ascii="Cambria" w:hAnsi="Cambria" w:cs="Arial"/>
                <w:sz w:val="20"/>
                <w:szCs w:val="20"/>
              </w:rPr>
              <w:t>.</w:t>
            </w:r>
          </w:p>
          <w:p w14:paraId="3B7CADEB" w14:textId="77777777" w:rsidR="000B6192" w:rsidRPr="00440576" w:rsidRDefault="000B6192" w:rsidP="000B6192">
            <w:pPr>
              <w:numPr>
                <w:ilvl w:val="0"/>
                <w:numId w:val="19"/>
              </w:numPr>
              <w:tabs>
                <w:tab w:val="clear" w:pos="360"/>
              </w:tabs>
              <w:ind w:left="720" w:right="-36"/>
              <w:rPr>
                <w:rFonts w:ascii="Cambria" w:hAnsi="Cambria" w:cs="Arial"/>
                <w:sz w:val="20"/>
                <w:szCs w:val="20"/>
              </w:rPr>
            </w:pPr>
            <w:r w:rsidRPr="00440576">
              <w:rPr>
                <w:rFonts w:ascii="Cambria" w:hAnsi="Cambria" w:cs="Arial"/>
                <w:sz w:val="20"/>
                <w:szCs w:val="20"/>
              </w:rPr>
              <w:t>No food</w:t>
            </w:r>
            <w:r w:rsidR="00905698" w:rsidRPr="00440576">
              <w:rPr>
                <w:rFonts w:ascii="Cambria" w:hAnsi="Cambria" w:cs="Arial"/>
                <w:sz w:val="20"/>
                <w:szCs w:val="20"/>
              </w:rPr>
              <w:t xml:space="preserve"> </w:t>
            </w:r>
            <w:r w:rsidR="004273ED" w:rsidRPr="00440576">
              <w:rPr>
                <w:rFonts w:ascii="Cambria" w:hAnsi="Cambria" w:cs="Arial"/>
                <w:sz w:val="20"/>
                <w:szCs w:val="20"/>
              </w:rPr>
              <w:t xml:space="preserve">is </w:t>
            </w:r>
            <w:r w:rsidRPr="00440576">
              <w:rPr>
                <w:rFonts w:ascii="Cambria" w:hAnsi="Cambria" w:cs="Arial"/>
                <w:sz w:val="20"/>
                <w:szCs w:val="20"/>
              </w:rPr>
              <w:t>allowed in the classroom</w:t>
            </w:r>
            <w:r w:rsidR="004273ED" w:rsidRPr="00440576">
              <w:rPr>
                <w:rFonts w:ascii="Cambria" w:hAnsi="Cambria" w:cs="Arial"/>
                <w:sz w:val="20"/>
                <w:szCs w:val="20"/>
              </w:rPr>
              <w:t xml:space="preserve"> after 1</w:t>
            </w:r>
            <w:r w:rsidR="004273ED" w:rsidRPr="00440576">
              <w:rPr>
                <w:rFonts w:ascii="Cambria" w:hAnsi="Cambria" w:cs="Arial"/>
                <w:sz w:val="20"/>
                <w:szCs w:val="20"/>
                <w:vertAlign w:val="superscript"/>
              </w:rPr>
              <w:t>st</w:t>
            </w:r>
            <w:r w:rsidR="004273ED" w:rsidRPr="00440576">
              <w:rPr>
                <w:rFonts w:ascii="Cambria" w:hAnsi="Cambria" w:cs="Arial"/>
                <w:sz w:val="20"/>
                <w:szCs w:val="20"/>
              </w:rPr>
              <w:t xml:space="preserve"> five minutes</w:t>
            </w:r>
            <w:r w:rsidRPr="00440576">
              <w:rPr>
                <w:rFonts w:ascii="Cambria" w:hAnsi="Cambria" w:cs="Arial"/>
                <w:sz w:val="20"/>
                <w:szCs w:val="20"/>
              </w:rPr>
              <w:t xml:space="preserve">. </w:t>
            </w:r>
            <w:r w:rsidR="00905698" w:rsidRPr="00440576">
              <w:rPr>
                <w:rFonts w:ascii="Cambria" w:hAnsi="Cambria" w:cs="Arial"/>
                <w:sz w:val="20"/>
                <w:szCs w:val="20"/>
              </w:rPr>
              <w:t>Drinks are okay but keep them capped</w:t>
            </w:r>
            <w:r w:rsidRPr="00440576">
              <w:rPr>
                <w:rFonts w:ascii="Cambria" w:hAnsi="Cambria" w:cs="Arial"/>
                <w:sz w:val="20"/>
                <w:szCs w:val="20"/>
              </w:rPr>
              <w:t>.</w:t>
            </w:r>
          </w:p>
          <w:p w14:paraId="3928E75D" w14:textId="77777777" w:rsidR="000B6192" w:rsidRPr="00440576" w:rsidRDefault="000B6192" w:rsidP="000B6192">
            <w:pPr>
              <w:ind w:left="720" w:right="-36"/>
              <w:rPr>
                <w:rFonts w:ascii="Cambria" w:hAnsi="Cambria" w:cs="Arial"/>
                <w:b/>
                <w:bCs/>
                <w:i/>
                <w:iCs/>
                <w:sz w:val="20"/>
                <w:szCs w:val="20"/>
              </w:rPr>
            </w:pPr>
            <w:r w:rsidRPr="00440576">
              <w:rPr>
                <w:rFonts w:ascii="Cambria" w:hAnsi="Cambria" w:cs="Arial"/>
                <w:b/>
                <w:bCs/>
                <w:i/>
                <w:iCs/>
                <w:sz w:val="20"/>
                <w:szCs w:val="20"/>
              </w:rPr>
              <w:t>Choosing not to follow any of the above rules may result in disciplinary action.</w:t>
            </w:r>
          </w:p>
          <w:p w14:paraId="7140B033" w14:textId="77777777" w:rsidR="000B6192" w:rsidRPr="00440576" w:rsidRDefault="000B6192" w:rsidP="000B6192">
            <w:pPr>
              <w:ind w:left="720" w:right="-36"/>
              <w:rPr>
                <w:rFonts w:asciiTheme="majorHAnsi" w:hAnsiTheme="majorHAnsi"/>
                <w:b/>
                <w:sz w:val="20"/>
                <w:szCs w:val="20"/>
              </w:rPr>
            </w:pPr>
          </w:p>
        </w:tc>
      </w:tr>
      <w:tr w:rsidR="000B6192" w:rsidRPr="00440576" w14:paraId="42AE2DEF" w14:textId="77777777" w:rsidTr="000B6192">
        <w:tc>
          <w:tcPr>
            <w:tcW w:w="10386" w:type="dxa"/>
            <w:gridSpan w:val="3"/>
          </w:tcPr>
          <w:p w14:paraId="00221707" w14:textId="77777777" w:rsidR="000B6192" w:rsidRPr="00440576" w:rsidRDefault="000B6192" w:rsidP="000B6192">
            <w:pPr>
              <w:rPr>
                <w:rFonts w:asciiTheme="majorHAnsi" w:hAnsiTheme="majorHAnsi"/>
                <w:b/>
                <w:sz w:val="20"/>
                <w:szCs w:val="20"/>
              </w:rPr>
            </w:pPr>
            <w:r w:rsidRPr="00440576">
              <w:rPr>
                <w:rFonts w:asciiTheme="majorHAnsi" w:hAnsiTheme="majorHAnsi"/>
                <w:b/>
                <w:sz w:val="20"/>
                <w:szCs w:val="20"/>
              </w:rPr>
              <w:t xml:space="preserve">Supplies: </w:t>
            </w:r>
          </w:p>
          <w:p w14:paraId="36DA26A2" w14:textId="77777777" w:rsidR="007920A3" w:rsidRPr="00440576" w:rsidRDefault="007920A3" w:rsidP="000B6192">
            <w:pPr>
              <w:rPr>
                <w:rFonts w:asciiTheme="majorHAnsi" w:hAnsiTheme="majorHAnsi"/>
                <w:b/>
                <w:sz w:val="20"/>
                <w:szCs w:val="20"/>
              </w:rPr>
            </w:pPr>
          </w:p>
          <w:p w14:paraId="6A08EC71" w14:textId="77777777" w:rsidR="000B6192" w:rsidRPr="00440576" w:rsidRDefault="000B6192" w:rsidP="000B6192">
            <w:pPr>
              <w:numPr>
                <w:ilvl w:val="0"/>
                <w:numId w:val="7"/>
              </w:numPr>
              <w:rPr>
                <w:rFonts w:asciiTheme="majorHAnsi" w:hAnsiTheme="majorHAnsi"/>
                <w:sz w:val="20"/>
                <w:szCs w:val="20"/>
              </w:rPr>
            </w:pPr>
            <w:r w:rsidRPr="00440576">
              <w:rPr>
                <w:rFonts w:asciiTheme="majorHAnsi" w:hAnsiTheme="majorHAnsi"/>
                <w:sz w:val="20"/>
                <w:szCs w:val="20"/>
              </w:rPr>
              <w:t>Some method for organizing your notes.</w:t>
            </w:r>
          </w:p>
          <w:p w14:paraId="7363A03C" w14:textId="77ACBC7C" w:rsidR="000B6192" w:rsidRDefault="009A1D79" w:rsidP="000B6192">
            <w:pPr>
              <w:numPr>
                <w:ilvl w:val="0"/>
                <w:numId w:val="7"/>
              </w:numPr>
              <w:rPr>
                <w:rFonts w:asciiTheme="majorHAnsi" w:hAnsiTheme="majorHAnsi"/>
                <w:sz w:val="20"/>
                <w:szCs w:val="20"/>
              </w:rPr>
            </w:pPr>
            <w:r w:rsidRPr="00440576">
              <w:rPr>
                <w:rFonts w:asciiTheme="majorHAnsi" w:hAnsiTheme="majorHAnsi"/>
                <w:sz w:val="20"/>
                <w:szCs w:val="20"/>
              </w:rPr>
              <w:t xml:space="preserve">It is strongly encouraged that you have a </w:t>
            </w:r>
            <w:r w:rsidR="000B6192" w:rsidRPr="00440576">
              <w:rPr>
                <w:rFonts w:asciiTheme="majorHAnsi" w:hAnsiTheme="majorHAnsi"/>
                <w:sz w:val="20"/>
                <w:szCs w:val="20"/>
              </w:rPr>
              <w:t>TI-84 Calculator</w:t>
            </w:r>
            <w:r w:rsidRPr="00440576">
              <w:rPr>
                <w:rFonts w:asciiTheme="majorHAnsi" w:hAnsiTheme="majorHAnsi"/>
                <w:sz w:val="20"/>
                <w:szCs w:val="20"/>
              </w:rPr>
              <w:t xml:space="preserve"> </w:t>
            </w:r>
            <w:r w:rsidR="004507E6" w:rsidRPr="00440576">
              <w:rPr>
                <w:rFonts w:asciiTheme="majorHAnsi" w:hAnsiTheme="majorHAnsi"/>
                <w:sz w:val="20"/>
                <w:szCs w:val="20"/>
              </w:rPr>
              <w:t>(~$90-120)</w:t>
            </w:r>
            <w:r w:rsidRPr="00440576">
              <w:rPr>
                <w:rFonts w:asciiTheme="majorHAnsi" w:hAnsiTheme="majorHAnsi"/>
                <w:sz w:val="20"/>
                <w:szCs w:val="20"/>
              </w:rPr>
              <w:t>.</w:t>
            </w:r>
          </w:p>
          <w:p w14:paraId="38C7DBB5" w14:textId="4952E94B" w:rsidR="000977B9" w:rsidRPr="00440576" w:rsidRDefault="000977B9" w:rsidP="000B6192">
            <w:pPr>
              <w:numPr>
                <w:ilvl w:val="0"/>
                <w:numId w:val="7"/>
              </w:numPr>
              <w:rPr>
                <w:rFonts w:asciiTheme="majorHAnsi" w:hAnsiTheme="majorHAnsi"/>
                <w:sz w:val="20"/>
                <w:szCs w:val="20"/>
              </w:rPr>
            </w:pPr>
            <w:r>
              <w:rPr>
                <w:rFonts w:asciiTheme="majorHAnsi" w:hAnsiTheme="majorHAnsi"/>
                <w:sz w:val="20"/>
                <w:szCs w:val="20"/>
              </w:rPr>
              <w:t>You can check out a TI-36 or rent a TI-84 for $20 from Mrs. Ledford 1122 or Mrs. Obosla 1210.</w:t>
            </w:r>
          </w:p>
          <w:p w14:paraId="5007214C" w14:textId="77777777" w:rsidR="000B6192" w:rsidRPr="00440576" w:rsidRDefault="000B6192" w:rsidP="000B6192">
            <w:pPr>
              <w:numPr>
                <w:ilvl w:val="0"/>
                <w:numId w:val="7"/>
              </w:numPr>
              <w:rPr>
                <w:rFonts w:ascii="Cambria" w:hAnsi="Cambria" w:cs="Arial"/>
                <w:sz w:val="20"/>
                <w:szCs w:val="20"/>
              </w:rPr>
            </w:pPr>
            <w:r w:rsidRPr="00440576">
              <w:rPr>
                <w:rFonts w:asciiTheme="majorHAnsi" w:hAnsiTheme="majorHAnsi"/>
                <w:sz w:val="20"/>
                <w:szCs w:val="20"/>
              </w:rPr>
              <w:t>Spiral Notebook, graphing paper, and pencils; I am not the pencil factory, so do not ask.</w:t>
            </w:r>
          </w:p>
          <w:p w14:paraId="3C95320F" w14:textId="77777777" w:rsidR="000B6192" w:rsidRPr="00440576" w:rsidRDefault="000B6192" w:rsidP="000B6192">
            <w:pPr>
              <w:ind w:left="720"/>
              <w:rPr>
                <w:rFonts w:ascii="Cambria" w:hAnsi="Cambria" w:cs="Arial"/>
                <w:sz w:val="20"/>
                <w:szCs w:val="20"/>
              </w:rPr>
            </w:pPr>
          </w:p>
        </w:tc>
      </w:tr>
      <w:tr w:rsidR="000B6192" w:rsidRPr="00440576" w14:paraId="2CDBCE74" w14:textId="77777777" w:rsidTr="000B6192">
        <w:tc>
          <w:tcPr>
            <w:tcW w:w="10386" w:type="dxa"/>
            <w:gridSpan w:val="3"/>
          </w:tcPr>
          <w:p w14:paraId="2F25046A" w14:textId="77777777" w:rsidR="000B6192" w:rsidRPr="00440576" w:rsidRDefault="000B6192" w:rsidP="000B6192">
            <w:pPr>
              <w:rPr>
                <w:rStyle w:val="Strong"/>
                <w:rFonts w:asciiTheme="majorHAnsi" w:hAnsiTheme="majorHAnsi"/>
                <w:bCs w:val="0"/>
                <w:sz w:val="20"/>
                <w:szCs w:val="20"/>
              </w:rPr>
            </w:pPr>
            <w:r w:rsidRPr="00440576">
              <w:rPr>
                <w:rStyle w:val="Strong"/>
                <w:rFonts w:asciiTheme="majorHAnsi" w:hAnsiTheme="majorHAnsi"/>
                <w:bCs w:val="0"/>
                <w:sz w:val="20"/>
                <w:szCs w:val="20"/>
              </w:rPr>
              <w:t>Homework:</w:t>
            </w:r>
          </w:p>
          <w:p w14:paraId="3A272123" w14:textId="77777777" w:rsidR="007920A3" w:rsidRPr="00440576" w:rsidRDefault="007920A3" w:rsidP="000B6192">
            <w:pPr>
              <w:rPr>
                <w:rStyle w:val="Strong"/>
                <w:rFonts w:asciiTheme="majorHAnsi" w:hAnsiTheme="majorHAnsi"/>
                <w:bCs w:val="0"/>
                <w:sz w:val="20"/>
                <w:szCs w:val="20"/>
              </w:rPr>
            </w:pPr>
          </w:p>
          <w:p w14:paraId="0A2F1243" w14:textId="77777777" w:rsidR="000B6192" w:rsidRPr="00440576" w:rsidRDefault="00424E37" w:rsidP="00424E37">
            <w:pPr>
              <w:numPr>
                <w:ilvl w:val="0"/>
                <w:numId w:val="13"/>
              </w:numPr>
              <w:rPr>
                <w:rFonts w:asciiTheme="majorHAnsi" w:hAnsiTheme="majorHAnsi"/>
                <w:sz w:val="20"/>
                <w:szCs w:val="20"/>
              </w:rPr>
            </w:pPr>
            <w:r w:rsidRPr="00440576">
              <w:rPr>
                <w:rFonts w:asciiTheme="majorHAnsi" w:hAnsiTheme="majorHAnsi"/>
                <w:sz w:val="20"/>
                <w:szCs w:val="20"/>
              </w:rPr>
              <w:t>If h</w:t>
            </w:r>
            <w:r w:rsidR="000B6192" w:rsidRPr="00440576">
              <w:rPr>
                <w:rFonts w:asciiTheme="majorHAnsi" w:hAnsiTheme="majorHAnsi"/>
                <w:sz w:val="20"/>
                <w:szCs w:val="20"/>
              </w:rPr>
              <w:t xml:space="preserve">omework </w:t>
            </w:r>
            <w:r w:rsidRPr="00440576">
              <w:rPr>
                <w:rFonts w:asciiTheme="majorHAnsi" w:hAnsiTheme="majorHAnsi"/>
                <w:sz w:val="20"/>
                <w:szCs w:val="20"/>
              </w:rPr>
              <w:t>is given, it will be put into the grade book as 50% completion &amp; 50% accuracy.</w:t>
            </w:r>
          </w:p>
          <w:p w14:paraId="4ADC3FF3" w14:textId="77777777" w:rsidR="00424E37" w:rsidRPr="00440576" w:rsidRDefault="00424E37" w:rsidP="00424E37">
            <w:pPr>
              <w:numPr>
                <w:ilvl w:val="0"/>
                <w:numId w:val="13"/>
              </w:numPr>
              <w:rPr>
                <w:rFonts w:asciiTheme="majorHAnsi" w:hAnsiTheme="majorHAnsi"/>
                <w:sz w:val="20"/>
                <w:szCs w:val="20"/>
              </w:rPr>
            </w:pPr>
            <w:r w:rsidRPr="00440576">
              <w:rPr>
                <w:rFonts w:asciiTheme="majorHAnsi" w:hAnsiTheme="majorHAnsi"/>
                <w:sz w:val="20"/>
                <w:szCs w:val="20"/>
              </w:rPr>
              <w:t>The vast majority of the time homework will be formative, but I reserve the right to choose.</w:t>
            </w:r>
          </w:p>
          <w:p w14:paraId="7E8E1C2C" w14:textId="77777777" w:rsidR="000B6192" w:rsidRPr="00440576" w:rsidRDefault="000B6192" w:rsidP="000B6192">
            <w:pPr>
              <w:ind w:left="720"/>
              <w:rPr>
                <w:rFonts w:asciiTheme="majorHAnsi" w:hAnsiTheme="majorHAnsi"/>
                <w:b/>
                <w:sz w:val="20"/>
                <w:szCs w:val="20"/>
              </w:rPr>
            </w:pPr>
          </w:p>
        </w:tc>
      </w:tr>
      <w:tr w:rsidR="000B6192" w:rsidRPr="00440576" w14:paraId="103DA3A1" w14:textId="77777777" w:rsidTr="000B6192">
        <w:tc>
          <w:tcPr>
            <w:tcW w:w="10386" w:type="dxa"/>
            <w:gridSpan w:val="3"/>
          </w:tcPr>
          <w:p w14:paraId="078C0565" w14:textId="77777777" w:rsidR="000B6192" w:rsidRPr="00440576" w:rsidRDefault="007560D7" w:rsidP="000B6192">
            <w:pPr>
              <w:rPr>
                <w:rStyle w:val="Strong"/>
                <w:rFonts w:asciiTheme="majorHAnsi" w:hAnsiTheme="majorHAnsi"/>
                <w:sz w:val="20"/>
                <w:szCs w:val="20"/>
              </w:rPr>
            </w:pPr>
            <w:r w:rsidRPr="00440576">
              <w:rPr>
                <w:rStyle w:val="Strong"/>
                <w:rFonts w:asciiTheme="majorHAnsi" w:hAnsiTheme="majorHAnsi"/>
                <w:sz w:val="20"/>
                <w:szCs w:val="20"/>
              </w:rPr>
              <w:t xml:space="preserve">Testing / </w:t>
            </w:r>
            <w:r w:rsidR="000B6192" w:rsidRPr="00440576">
              <w:rPr>
                <w:rStyle w:val="Strong"/>
                <w:rFonts w:asciiTheme="majorHAnsi" w:hAnsiTheme="majorHAnsi"/>
                <w:sz w:val="20"/>
                <w:szCs w:val="20"/>
              </w:rPr>
              <w:t>Grading/ Makeup Work/Recovery: </w:t>
            </w:r>
          </w:p>
          <w:p w14:paraId="21B7B196" w14:textId="77777777" w:rsidR="007560D7" w:rsidRPr="00440576" w:rsidRDefault="007560D7" w:rsidP="000B6192">
            <w:pPr>
              <w:rPr>
                <w:rStyle w:val="Strong"/>
                <w:rFonts w:asciiTheme="majorHAnsi" w:hAnsiTheme="majorHAnsi"/>
                <w:sz w:val="20"/>
                <w:szCs w:val="20"/>
              </w:rPr>
            </w:pPr>
          </w:p>
          <w:p w14:paraId="1F247C52" w14:textId="5252493E" w:rsidR="007560D7" w:rsidRPr="00440576" w:rsidRDefault="007560D7" w:rsidP="007560D7">
            <w:pPr>
              <w:pStyle w:val="ListParagraph"/>
              <w:numPr>
                <w:ilvl w:val="0"/>
                <w:numId w:val="22"/>
              </w:numPr>
              <w:rPr>
                <w:rStyle w:val="Strong"/>
                <w:rFonts w:asciiTheme="majorHAnsi" w:hAnsiTheme="majorHAnsi"/>
                <w:b w:val="0"/>
                <w:sz w:val="20"/>
                <w:szCs w:val="20"/>
              </w:rPr>
            </w:pPr>
            <w:r w:rsidRPr="00440576">
              <w:rPr>
                <w:rStyle w:val="Strong"/>
                <w:rFonts w:asciiTheme="majorHAnsi" w:hAnsiTheme="majorHAnsi"/>
                <w:b w:val="0"/>
                <w:sz w:val="20"/>
                <w:szCs w:val="20"/>
              </w:rPr>
              <w:t xml:space="preserve">Students </w:t>
            </w:r>
            <w:r w:rsidR="000977B9">
              <w:rPr>
                <w:rStyle w:val="Strong"/>
                <w:rFonts w:asciiTheme="majorHAnsi" w:hAnsiTheme="majorHAnsi"/>
                <w:b w:val="0"/>
                <w:sz w:val="20"/>
                <w:szCs w:val="20"/>
              </w:rPr>
              <w:t>are not allowed to listen to music during quizzes or tests. Put your cell phone in your backpack.</w:t>
            </w:r>
          </w:p>
          <w:p w14:paraId="55C20B70" w14:textId="77777777" w:rsidR="000B6192" w:rsidRPr="00440576" w:rsidRDefault="000B6192" w:rsidP="000B6192">
            <w:pPr>
              <w:rPr>
                <w:rStyle w:val="Strong"/>
                <w:rFonts w:asciiTheme="majorHAnsi" w:hAnsiTheme="majorHAnsi"/>
                <w:bCs w:val="0"/>
                <w:sz w:val="20"/>
                <w:szCs w:val="20"/>
              </w:rPr>
            </w:pPr>
          </w:p>
        </w:tc>
      </w:tr>
      <w:tr w:rsidR="00F41D27" w:rsidRPr="00440576" w14:paraId="049A0D40" w14:textId="77777777" w:rsidTr="00F41D27">
        <w:tc>
          <w:tcPr>
            <w:tcW w:w="3438" w:type="dxa"/>
          </w:tcPr>
          <w:p w14:paraId="27BB0618" w14:textId="77777777" w:rsidR="00F41D27" w:rsidRPr="00440576" w:rsidRDefault="00F41D27" w:rsidP="00F41D27">
            <w:pPr>
              <w:ind w:left="720"/>
              <w:rPr>
                <w:rFonts w:asciiTheme="majorHAnsi" w:hAnsiTheme="majorHAnsi"/>
                <w:sz w:val="20"/>
                <w:szCs w:val="20"/>
              </w:rPr>
            </w:pPr>
            <w:r w:rsidRPr="00440576">
              <w:rPr>
                <w:rFonts w:asciiTheme="majorHAnsi" w:hAnsiTheme="majorHAnsi" w:cs="Arial"/>
                <w:sz w:val="20"/>
                <w:szCs w:val="20"/>
                <w:u w:val="single"/>
              </w:rPr>
              <w:t>Grading Categories</w:t>
            </w:r>
          </w:p>
        </w:tc>
        <w:tc>
          <w:tcPr>
            <w:tcW w:w="1755" w:type="dxa"/>
          </w:tcPr>
          <w:p w14:paraId="4CE59FCF" w14:textId="77777777" w:rsidR="00F41D27" w:rsidRPr="00440576" w:rsidRDefault="00F41D27" w:rsidP="00F41D27">
            <w:pPr>
              <w:jc w:val="center"/>
              <w:rPr>
                <w:rFonts w:asciiTheme="majorHAnsi" w:hAnsiTheme="majorHAnsi"/>
                <w:sz w:val="20"/>
                <w:szCs w:val="20"/>
                <w:u w:val="single"/>
              </w:rPr>
            </w:pPr>
            <w:r w:rsidRPr="00440576">
              <w:rPr>
                <w:rFonts w:asciiTheme="majorHAnsi" w:hAnsiTheme="majorHAnsi"/>
                <w:sz w:val="20"/>
                <w:szCs w:val="20"/>
                <w:u w:val="single"/>
              </w:rPr>
              <w:t>Weighting</w:t>
            </w:r>
          </w:p>
        </w:tc>
        <w:tc>
          <w:tcPr>
            <w:tcW w:w="5193" w:type="dxa"/>
          </w:tcPr>
          <w:p w14:paraId="2030A0EB" w14:textId="77777777" w:rsidR="00F41D27" w:rsidRPr="00440576" w:rsidRDefault="00F41D27" w:rsidP="000B6192">
            <w:pPr>
              <w:rPr>
                <w:rFonts w:asciiTheme="majorHAnsi" w:hAnsiTheme="majorHAnsi"/>
                <w:sz w:val="20"/>
                <w:szCs w:val="20"/>
              </w:rPr>
            </w:pPr>
            <w:r w:rsidRPr="00440576">
              <w:rPr>
                <w:rFonts w:asciiTheme="majorHAnsi" w:hAnsiTheme="majorHAnsi" w:cs="Arial"/>
                <w:sz w:val="20"/>
                <w:szCs w:val="20"/>
                <w:u w:val="single"/>
              </w:rPr>
              <w:t>Letter Grades</w:t>
            </w:r>
          </w:p>
        </w:tc>
      </w:tr>
      <w:tr w:rsidR="00F41D27" w:rsidRPr="00440576" w14:paraId="502F64AA" w14:textId="77777777" w:rsidTr="00F41D27">
        <w:tc>
          <w:tcPr>
            <w:tcW w:w="3438" w:type="dxa"/>
          </w:tcPr>
          <w:p w14:paraId="24FAF45E" w14:textId="77777777" w:rsidR="00F41D27" w:rsidRPr="00440576" w:rsidRDefault="00F41D27" w:rsidP="00F41D27">
            <w:pPr>
              <w:ind w:left="720"/>
              <w:rPr>
                <w:rFonts w:asciiTheme="majorHAnsi" w:hAnsiTheme="majorHAnsi"/>
                <w:sz w:val="20"/>
                <w:szCs w:val="20"/>
              </w:rPr>
            </w:pPr>
            <w:r w:rsidRPr="00440576">
              <w:rPr>
                <w:rFonts w:asciiTheme="majorHAnsi" w:hAnsiTheme="majorHAnsi" w:cs="Arial"/>
                <w:sz w:val="20"/>
                <w:szCs w:val="20"/>
              </w:rPr>
              <w:t>Summative Assessments</w:t>
            </w:r>
          </w:p>
        </w:tc>
        <w:tc>
          <w:tcPr>
            <w:tcW w:w="1755" w:type="dxa"/>
          </w:tcPr>
          <w:p w14:paraId="4A7D82C1" w14:textId="77777777" w:rsidR="00F41D27" w:rsidRPr="00440576" w:rsidRDefault="00F41D27" w:rsidP="00F41D27">
            <w:pPr>
              <w:jc w:val="center"/>
              <w:rPr>
                <w:rFonts w:asciiTheme="majorHAnsi" w:hAnsiTheme="majorHAnsi"/>
                <w:sz w:val="20"/>
                <w:szCs w:val="20"/>
              </w:rPr>
            </w:pPr>
            <w:r w:rsidRPr="00440576">
              <w:rPr>
                <w:rFonts w:asciiTheme="majorHAnsi" w:hAnsiTheme="majorHAnsi"/>
                <w:sz w:val="20"/>
                <w:szCs w:val="20"/>
              </w:rPr>
              <w:t>57%</w:t>
            </w:r>
          </w:p>
        </w:tc>
        <w:tc>
          <w:tcPr>
            <w:tcW w:w="5193" w:type="dxa"/>
          </w:tcPr>
          <w:p w14:paraId="4C0E0054" w14:textId="77777777" w:rsidR="00F41D27" w:rsidRPr="00440576" w:rsidRDefault="00F41D27" w:rsidP="000B6192">
            <w:pPr>
              <w:rPr>
                <w:rFonts w:asciiTheme="majorHAnsi" w:hAnsiTheme="majorHAnsi"/>
                <w:sz w:val="20"/>
                <w:szCs w:val="20"/>
              </w:rPr>
            </w:pPr>
            <w:r w:rsidRPr="00440576">
              <w:rPr>
                <w:rFonts w:asciiTheme="majorHAnsi" w:hAnsiTheme="majorHAnsi" w:cs="Arial"/>
                <w:sz w:val="20"/>
                <w:szCs w:val="20"/>
              </w:rPr>
              <w:t>90 – 100</w:t>
            </w:r>
            <w:r w:rsidRPr="00440576">
              <w:rPr>
                <w:rFonts w:asciiTheme="majorHAnsi" w:hAnsiTheme="majorHAnsi" w:cs="Arial"/>
                <w:sz w:val="20"/>
                <w:szCs w:val="20"/>
              </w:rPr>
              <w:tab/>
              <w:t>A</w:t>
            </w:r>
          </w:p>
        </w:tc>
      </w:tr>
      <w:tr w:rsidR="00F41D27" w:rsidRPr="00440576" w14:paraId="6420686D" w14:textId="77777777" w:rsidTr="00F41D27">
        <w:tc>
          <w:tcPr>
            <w:tcW w:w="3438" w:type="dxa"/>
          </w:tcPr>
          <w:p w14:paraId="4535B8E8" w14:textId="77777777" w:rsidR="00F41D27" w:rsidRPr="00440576" w:rsidRDefault="00F41D27" w:rsidP="00F41D27">
            <w:pPr>
              <w:ind w:left="720"/>
              <w:rPr>
                <w:rFonts w:asciiTheme="majorHAnsi" w:hAnsiTheme="majorHAnsi"/>
                <w:sz w:val="20"/>
                <w:szCs w:val="20"/>
              </w:rPr>
            </w:pPr>
            <w:r w:rsidRPr="00440576">
              <w:rPr>
                <w:rFonts w:asciiTheme="majorHAnsi" w:hAnsiTheme="majorHAnsi" w:cs="Arial"/>
                <w:sz w:val="20"/>
                <w:szCs w:val="20"/>
              </w:rPr>
              <w:t>Formative Assessment</w:t>
            </w:r>
          </w:p>
        </w:tc>
        <w:tc>
          <w:tcPr>
            <w:tcW w:w="1755" w:type="dxa"/>
          </w:tcPr>
          <w:p w14:paraId="39036C61" w14:textId="77777777" w:rsidR="00F41D27" w:rsidRPr="00440576" w:rsidRDefault="00F41D27" w:rsidP="00F41D27">
            <w:pPr>
              <w:jc w:val="center"/>
              <w:rPr>
                <w:rFonts w:asciiTheme="majorHAnsi" w:hAnsiTheme="majorHAnsi"/>
                <w:sz w:val="20"/>
                <w:szCs w:val="20"/>
              </w:rPr>
            </w:pPr>
            <w:r w:rsidRPr="00440576">
              <w:rPr>
                <w:rFonts w:asciiTheme="majorHAnsi" w:hAnsiTheme="majorHAnsi"/>
                <w:sz w:val="20"/>
                <w:szCs w:val="20"/>
              </w:rPr>
              <w:t>23%</w:t>
            </w:r>
          </w:p>
        </w:tc>
        <w:tc>
          <w:tcPr>
            <w:tcW w:w="5193" w:type="dxa"/>
          </w:tcPr>
          <w:p w14:paraId="5361A5BF" w14:textId="77777777" w:rsidR="00F41D27" w:rsidRPr="00440576" w:rsidRDefault="00F41D27" w:rsidP="000B6192">
            <w:pPr>
              <w:rPr>
                <w:rFonts w:asciiTheme="majorHAnsi" w:hAnsiTheme="majorHAnsi"/>
                <w:sz w:val="20"/>
                <w:szCs w:val="20"/>
              </w:rPr>
            </w:pPr>
            <w:r w:rsidRPr="00440576">
              <w:rPr>
                <w:rFonts w:asciiTheme="majorHAnsi" w:hAnsiTheme="majorHAnsi" w:cs="Arial"/>
                <w:sz w:val="20"/>
                <w:szCs w:val="20"/>
              </w:rPr>
              <w:t>80 – 89</w:t>
            </w:r>
            <w:r w:rsidRPr="00440576">
              <w:rPr>
                <w:rFonts w:asciiTheme="majorHAnsi" w:hAnsiTheme="majorHAnsi" w:cs="Arial"/>
                <w:sz w:val="20"/>
                <w:szCs w:val="20"/>
              </w:rPr>
              <w:tab/>
            </w:r>
            <w:r w:rsidRPr="00440576">
              <w:rPr>
                <w:rFonts w:asciiTheme="majorHAnsi" w:hAnsiTheme="majorHAnsi" w:cs="Arial"/>
                <w:sz w:val="20"/>
                <w:szCs w:val="20"/>
              </w:rPr>
              <w:tab/>
              <w:t>B</w:t>
            </w:r>
          </w:p>
        </w:tc>
      </w:tr>
      <w:tr w:rsidR="00F41D27" w:rsidRPr="00440576" w14:paraId="1EB42D32" w14:textId="77777777" w:rsidTr="00F41D27">
        <w:tc>
          <w:tcPr>
            <w:tcW w:w="3438" w:type="dxa"/>
          </w:tcPr>
          <w:p w14:paraId="4A5307D8" w14:textId="57DEF5C4" w:rsidR="00F41D27" w:rsidRPr="00440576" w:rsidRDefault="000977B9" w:rsidP="00F41D27">
            <w:pPr>
              <w:ind w:left="720"/>
              <w:rPr>
                <w:rFonts w:asciiTheme="majorHAnsi" w:hAnsiTheme="majorHAnsi"/>
                <w:sz w:val="20"/>
                <w:szCs w:val="20"/>
              </w:rPr>
            </w:pPr>
            <w:r>
              <w:rPr>
                <w:rFonts w:asciiTheme="majorHAnsi" w:hAnsiTheme="majorHAnsi"/>
                <w:sz w:val="20"/>
                <w:szCs w:val="20"/>
              </w:rPr>
              <w:t>EOCT / Milestone</w:t>
            </w:r>
          </w:p>
        </w:tc>
        <w:tc>
          <w:tcPr>
            <w:tcW w:w="1755" w:type="dxa"/>
          </w:tcPr>
          <w:p w14:paraId="6E60D909" w14:textId="1F873F11" w:rsidR="00F41D27" w:rsidRPr="00440576" w:rsidRDefault="000977B9" w:rsidP="00F41D27">
            <w:pPr>
              <w:jc w:val="center"/>
              <w:rPr>
                <w:rFonts w:asciiTheme="majorHAnsi" w:hAnsiTheme="majorHAnsi"/>
                <w:sz w:val="20"/>
                <w:szCs w:val="20"/>
              </w:rPr>
            </w:pPr>
            <w:r>
              <w:rPr>
                <w:rFonts w:asciiTheme="majorHAnsi" w:hAnsiTheme="majorHAnsi"/>
                <w:sz w:val="20"/>
                <w:szCs w:val="20"/>
              </w:rPr>
              <w:t>2</w:t>
            </w:r>
            <w:r w:rsidR="00F41D27" w:rsidRPr="00440576">
              <w:rPr>
                <w:rFonts w:asciiTheme="majorHAnsi" w:hAnsiTheme="majorHAnsi"/>
                <w:sz w:val="20"/>
                <w:szCs w:val="20"/>
              </w:rPr>
              <w:t>0%</w:t>
            </w:r>
          </w:p>
        </w:tc>
        <w:tc>
          <w:tcPr>
            <w:tcW w:w="5193" w:type="dxa"/>
          </w:tcPr>
          <w:p w14:paraId="147319DF" w14:textId="77777777" w:rsidR="00F41D27" w:rsidRPr="00440576" w:rsidRDefault="00F41D27" w:rsidP="000B6192">
            <w:pPr>
              <w:rPr>
                <w:rFonts w:asciiTheme="majorHAnsi" w:hAnsiTheme="majorHAnsi"/>
                <w:sz w:val="20"/>
                <w:szCs w:val="20"/>
              </w:rPr>
            </w:pPr>
            <w:r w:rsidRPr="00440576">
              <w:rPr>
                <w:rFonts w:asciiTheme="majorHAnsi" w:hAnsiTheme="majorHAnsi" w:cs="Arial"/>
                <w:sz w:val="20"/>
                <w:szCs w:val="20"/>
              </w:rPr>
              <w:t>70 – 79</w:t>
            </w:r>
            <w:r w:rsidRPr="00440576">
              <w:rPr>
                <w:rFonts w:asciiTheme="majorHAnsi" w:hAnsiTheme="majorHAnsi" w:cs="Arial"/>
                <w:sz w:val="20"/>
                <w:szCs w:val="20"/>
              </w:rPr>
              <w:tab/>
            </w:r>
            <w:r w:rsidRPr="00440576">
              <w:rPr>
                <w:rFonts w:asciiTheme="majorHAnsi" w:hAnsiTheme="majorHAnsi" w:cs="Arial"/>
                <w:sz w:val="20"/>
                <w:szCs w:val="20"/>
              </w:rPr>
              <w:tab/>
              <w:t>C</w:t>
            </w:r>
          </w:p>
        </w:tc>
      </w:tr>
      <w:tr w:rsidR="00F41D27" w:rsidRPr="00440576" w14:paraId="6B830341" w14:textId="77777777" w:rsidTr="00F41D27">
        <w:tc>
          <w:tcPr>
            <w:tcW w:w="3438" w:type="dxa"/>
          </w:tcPr>
          <w:p w14:paraId="01369EF3" w14:textId="77777777" w:rsidR="00F41D27" w:rsidRPr="00440576" w:rsidRDefault="00F41D27" w:rsidP="00F41D27">
            <w:pPr>
              <w:ind w:left="720"/>
              <w:rPr>
                <w:rFonts w:asciiTheme="majorHAnsi" w:hAnsiTheme="majorHAnsi"/>
                <w:sz w:val="20"/>
                <w:szCs w:val="20"/>
              </w:rPr>
            </w:pPr>
            <w:r w:rsidRPr="00440576">
              <w:rPr>
                <w:rFonts w:asciiTheme="majorHAnsi" w:hAnsiTheme="majorHAnsi" w:cs="Arial"/>
                <w:sz w:val="20"/>
                <w:szCs w:val="20"/>
              </w:rPr>
              <w:t>Final Exam</w:t>
            </w:r>
          </w:p>
        </w:tc>
        <w:tc>
          <w:tcPr>
            <w:tcW w:w="1755" w:type="dxa"/>
          </w:tcPr>
          <w:p w14:paraId="277C8434" w14:textId="07535EAA" w:rsidR="00F41D27" w:rsidRPr="00440576" w:rsidRDefault="000977B9" w:rsidP="00F41D27">
            <w:pPr>
              <w:jc w:val="center"/>
              <w:rPr>
                <w:rFonts w:asciiTheme="majorHAnsi" w:hAnsiTheme="majorHAnsi"/>
                <w:sz w:val="20"/>
                <w:szCs w:val="20"/>
              </w:rPr>
            </w:pPr>
            <w:r>
              <w:rPr>
                <w:rFonts w:asciiTheme="majorHAnsi" w:hAnsiTheme="majorHAnsi"/>
                <w:sz w:val="20"/>
                <w:szCs w:val="20"/>
              </w:rPr>
              <w:t>Test Grade</w:t>
            </w:r>
          </w:p>
        </w:tc>
        <w:tc>
          <w:tcPr>
            <w:tcW w:w="5193" w:type="dxa"/>
          </w:tcPr>
          <w:p w14:paraId="6EE89402" w14:textId="77777777" w:rsidR="00F41D27" w:rsidRPr="00440576" w:rsidRDefault="00F41D27" w:rsidP="000B6192">
            <w:pPr>
              <w:rPr>
                <w:rFonts w:asciiTheme="majorHAnsi" w:hAnsiTheme="majorHAnsi"/>
                <w:sz w:val="20"/>
                <w:szCs w:val="20"/>
              </w:rPr>
            </w:pPr>
            <w:r w:rsidRPr="00440576">
              <w:rPr>
                <w:rFonts w:asciiTheme="majorHAnsi" w:hAnsiTheme="majorHAnsi" w:cs="Arial"/>
                <w:sz w:val="20"/>
                <w:szCs w:val="20"/>
              </w:rPr>
              <w:t>69 and below</w:t>
            </w:r>
            <w:r w:rsidRPr="00440576">
              <w:rPr>
                <w:rFonts w:asciiTheme="majorHAnsi" w:hAnsiTheme="majorHAnsi" w:cs="Arial"/>
                <w:sz w:val="20"/>
                <w:szCs w:val="20"/>
              </w:rPr>
              <w:tab/>
              <w:t>F</w:t>
            </w:r>
          </w:p>
        </w:tc>
      </w:tr>
      <w:tr w:rsidR="000B6192" w:rsidRPr="00440576" w14:paraId="66BC6173" w14:textId="77777777" w:rsidTr="007F7FC0">
        <w:tc>
          <w:tcPr>
            <w:tcW w:w="10386" w:type="dxa"/>
            <w:gridSpan w:val="3"/>
          </w:tcPr>
          <w:p w14:paraId="1C20B3DA" w14:textId="77777777" w:rsidR="000B6192" w:rsidRPr="00440576" w:rsidRDefault="000B6192" w:rsidP="000B6192">
            <w:pPr>
              <w:ind w:left="720"/>
              <w:rPr>
                <w:rFonts w:asciiTheme="majorHAnsi" w:hAnsiTheme="majorHAnsi"/>
                <w:b/>
                <w:sz w:val="20"/>
                <w:szCs w:val="20"/>
              </w:rPr>
            </w:pPr>
          </w:p>
          <w:p w14:paraId="2DA06094" w14:textId="77777777" w:rsidR="00FC79F2" w:rsidRPr="00440576" w:rsidRDefault="000B6192" w:rsidP="000B6192">
            <w:pPr>
              <w:numPr>
                <w:ilvl w:val="0"/>
                <w:numId w:val="12"/>
              </w:numPr>
              <w:rPr>
                <w:rFonts w:asciiTheme="majorHAnsi" w:hAnsiTheme="majorHAnsi"/>
                <w:sz w:val="20"/>
                <w:szCs w:val="20"/>
              </w:rPr>
            </w:pPr>
            <w:r w:rsidRPr="00440576">
              <w:rPr>
                <w:rFonts w:asciiTheme="majorHAnsi" w:hAnsiTheme="majorHAnsi"/>
                <w:sz w:val="20"/>
                <w:szCs w:val="20"/>
              </w:rPr>
              <w:t xml:space="preserve"> Make up work is the responsibility of the student. </w:t>
            </w:r>
          </w:p>
          <w:p w14:paraId="7CA5D1F2" w14:textId="19A0AB93" w:rsidR="000B6192" w:rsidRPr="00440576" w:rsidRDefault="000B6192" w:rsidP="000B6192">
            <w:pPr>
              <w:numPr>
                <w:ilvl w:val="0"/>
                <w:numId w:val="12"/>
              </w:numPr>
              <w:rPr>
                <w:rFonts w:asciiTheme="majorHAnsi" w:hAnsiTheme="majorHAnsi"/>
                <w:sz w:val="20"/>
                <w:szCs w:val="20"/>
              </w:rPr>
            </w:pPr>
            <w:r w:rsidRPr="00440576">
              <w:rPr>
                <w:rFonts w:asciiTheme="majorHAnsi" w:hAnsiTheme="majorHAnsi"/>
                <w:sz w:val="20"/>
                <w:szCs w:val="20"/>
              </w:rPr>
              <w:t>A student who misses the review day will take the test in class as scheduled.</w:t>
            </w:r>
            <w:r w:rsidR="000977B9">
              <w:rPr>
                <w:rFonts w:asciiTheme="majorHAnsi" w:hAnsiTheme="majorHAnsi"/>
                <w:sz w:val="20"/>
                <w:szCs w:val="20"/>
              </w:rPr>
              <w:t xml:space="preserve"> No exceptions.</w:t>
            </w:r>
          </w:p>
          <w:p w14:paraId="00743C5C" w14:textId="77777777" w:rsidR="005B0EC2" w:rsidRPr="00440576" w:rsidRDefault="005B0EC2" w:rsidP="000B6192">
            <w:pPr>
              <w:numPr>
                <w:ilvl w:val="0"/>
                <w:numId w:val="12"/>
              </w:numPr>
              <w:rPr>
                <w:rFonts w:asciiTheme="majorHAnsi" w:hAnsiTheme="majorHAnsi"/>
                <w:sz w:val="20"/>
                <w:szCs w:val="20"/>
              </w:rPr>
            </w:pPr>
            <w:r w:rsidRPr="00440576">
              <w:rPr>
                <w:rFonts w:asciiTheme="majorHAnsi" w:hAnsiTheme="majorHAnsi"/>
                <w:sz w:val="20"/>
                <w:szCs w:val="20"/>
              </w:rPr>
              <w:t>A student who misses class time must attempt quizzes but will be given extra time to finish.</w:t>
            </w:r>
          </w:p>
          <w:p w14:paraId="3920D94E" w14:textId="52764BCD" w:rsidR="00402D88" w:rsidRPr="00402D88" w:rsidRDefault="000B6192" w:rsidP="00402D88">
            <w:pPr>
              <w:numPr>
                <w:ilvl w:val="0"/>
                <w:numId w:val="17"/>
              </w:numPr>
              <w:ind w:left="720"/>
              <w:rPr>
                <w:rFonts w:asciiTheme="majorHAnsi" w:hAnsiTheme="majorHAnsi" w:cstheme="minorHAnsi"/>
                <w:sz w:val="16"/>
                <w:szCs w:val="20"/>
              </w:rPr>
            </w:pPr>
            <w:r w:rsidRPr="000977B9">
              <w:rPr>
                <w:rFonts w:asciiTheme="majorHAnsi" w:hAnsiTheme="majorHAnsi"/>
                <w:sz w:val="20"/>
                <w:szCs w:val="20"/>
              </w:rPr>
              <w:t>Grade recovery will work as follows</w:t>
            </w:r>
            <w:r w:rsidRPr="00440576">
              <w:rPr>
                <w:rFonts w:asciiTheme="majorHAnsi" w:hAnsiTheme="majorHAnsi"/>
                <w:sz w:val="20"/>
                <w:szCs w:val="20"/>
              </w:rPr>
              <w:t>:</w:t>
            </w:r>
            <w:r w:rsidR="000977B9">
              <w:rPr>
                <w:rFonts w:asciiTheme="majorHAnsi" w:hAnsiTheme="majorHAnsi"/>
                <w:sz w:val="20"/>
                <w:szCs w:val="20"/>
              </w:rPr>
              <w:t xml:space="preserve"> </w:t>
            </w:r>
            <w:r w:rsidR="000977B9" w:rsidRPr="000977B9">
              <w:rPr>
                <w:rFonts w:asciiTheme="majorHAnsi" w:hAnsiTheme="majorHAnsi" w:cstheme="minorHAnsi"/>
                <w:sz w:val="20"/>
              </w:rPr>
              <w:t>Students have the opportunity to retake a summative assessment on which they score below a 70.  The highest score that can be earned on the retest is 70.   Students must schedule retest with the teacher within one week of the original assessment being given back.  Retest must be completed before the next summative assessment.  Prior to taking the retest, students must complete a remediation process as determined by the teacher.</w:t>
            </w:r>
            <w:bookmarkStart w:id="0" w:name="_GoBack"/>
            <w:bookmarkEnd w:id="0"/>
          </w:p>
          <w:p w14:paraId="28F709ED" w14:textId="2530427B" w:rsidR="006A64EC" w:rsidRPr="000977B9" w:rsidRDefault="006A64EC" w:rsidP="000977B9">
            <w:pPr>
              <w:numPr>
                <w:ilvl w:val="0"/>
                <w:numId w:val="17"/>
              </w:numPr>
              <w:ind w:left="720"/>
              <w:rPr>
                <w:rFonts w:asciiTheme="majorHAnsi" w:hAnsiTheme="majorHAnsi" w:cstheme="minorHAnsi"/>
                <w:sz w:val="16"/>
                <w:szCs w:val="20"/>
              </w:rPr>
            </w:pPr>
            <w:r w:rsidRPr="000977B9">
              <w:rPr>
                <w:rFonts w:asciiTheme="majorHAnsi" w:hAnsiTheme="majorHAnsi"/>
                <w:b/>
                <w:sz w:val="20"/>
                <w:szCs w:val="20"/>
                <w:u w:val="single"/>
              </w:rPr>
              <w:t>Quizze</w:t>
            </w:r>
            <w:r w:rsidR="000977B9" w:rsidRPr="000977B9">
              <w:rPr>
                <w:rFonts w:asciiTheme="majorHAnsi" w:hAnsiTheme="majorHAnsi"/>
                <w:b/>
                <w:sz w:val="20"/>
                <w:szCs w:val="20"/>
                <w:u w:val="single"/>
              </w:rPr>
              <w:t>s</w:t>
            </w:r>
            <w:r w:rsidRPr="000977B9">
              <w:rPr>
                <w:rFonts w:asciiTheme="majorHAnsi" w:hAnsiTheme="majorHAnsi"/>
                <w:b/>
                <w:sz w:val="20"/>
                <w:szCs w:val="20"/>
                <w:u w:val="single"/>
              </w:rPr>
              <w:t xml:space="preserve"> will NOT be lo</w:t>
            </w:r>
            <w:r w:rsidR="008351DF" w:rsidRPr="000977B9">
              <w:rPr>
                <w:rFonts w:asciiTheme="majorHAnsi" w:hAnsiTheme="majorHAnsi"/>
                <w:b/>
                <w:sz w:val="20"/>
                <w:szCs w:val="20"/>
                <w:u w:val="single"/>
              </w:rPr>
              <w:t>o</w:t>
            </w:r>
            <w:r w:rsidRPr="000977B9">
              <w:rPr>
                <w:rFonts w:asciiTheme="majorHAnsi" w:hAnsiTheme="majorHAnsi"/>
                <w:b/>
                <w:sz w:val="20"/>
                <w:szCs w:val="20"/>
                <w:u w:val="single"/>
              </w:rPr>
              <w:t>ped.</w:t>
            </w:r>
          </w:p>
          <w:p w14:paraId="28447EAC" w14:textId="77777777" w:rsidR="006A64EC" w:rsidRPr="00440576" w:rsidRDefault="006A64EC" w:rsidP="006A64EC">
            <w:pPr>
              <w:ind w:left="1080"/>
              <w:rPr>
                <w:rFonts w:ascii="Comic Sans MS" w:hAnsi="Comic Sans MS" w:cs="Arial"/>
                <w:b/>
                <w:sz w:val="20"/>
                <w:szCs w:val="20"/>
                <w:u w:val="single"/>
              </w:rPr>
            </w:pPr>
          </w:p>
        </w:tc>
      </w:tr>
      <w:tr w:rsidR="000B6192" w:rsidRPr="00440576" w14:paraId="125EA714" w14:textId="77777777" w:rsidTr="00C91A5E">
        <w:tc>
          <w:tcPr>
            <w:tcW w:w="10386" w:type="dxa"/>
            <w:gridSpan w:val="3"/>
          </w:tcPr>
          <w:p w14:paraId="63F3783A" w14:textId="77777777" w:rsidR="000B6192" w:rsidRPr="00440576" w:rsidRDefault="000B6192" w:rsidP="000B6192">
            <w:pPr>
              <w:rPr>
                <w:rFonts w:asciiTheme="majorHAnsi" w:hAnsiTheme="majorHAnsi"/>
                <w:b/>
                <w:sz w:val="20"/>
                <w:szCs w:val="20"/>
              </w:rPr>
            </w:pPr>
            <w:r w:rsidRPr="00440576">
              <w:rPr>
                <w:rFonts w:asciiTheme="majorHAnsi" w:hAnsiTheme="majorHAnsi"/>
                <w:b/>
                <w:sz w:val="20"/>
                <w:szCs w:val="20"/>
              </w:rPr>
              <w:t>Tutoring:</w:t>
            </w:r>
          </w:p>
          <w:p w14:paraId="0E584827" w14:textId="77777777" w:rsidR="005B0EC2" w:rsidRPr="00440576" w:rsidRDefault="005B0EC2" w:rsidP="000B6192">
            <w:pPr>
              <w:rPr>
                <w:rFonts w:asciiTheme="majorHAnsi" w:hAnsiTheme="majorHAnsi"/>
                <w:b/>
                <w:sz w:val="20"/>
                <w:szCs w:val="20"/>
              </w:rPr>
            </w:pPr>
          </w:p>
          <w:p w14:paraId="6BD4B60A" w14:textId="77777777" w:rsidR="000B6192" w:rsidRPr="00440576" w:rsidRDefault="000B6192" w:rsidP="000B6192">
            <w:pPr>
              <w:numPr>
                <w:ilvl w:val="0"/>
                <w:numId w:val="16"/>
              </w:numPr>
              <w:rPr>
                <w:rFonts w:asciiTheme="majorHAnsi" w:hAnsiTheme="majorHAnsi"/>
                <w:sz w:val="20"/>
                <w:szCs w:val="20"/>
              </w:rPr>
            </w:pPr>
            <w:r w:rsidRPr="00440576">
              <w:rPr>
                <w:rFonts w:asciiTheme="majorHAnsi" w:hAnsiTheme="majorHAnsi"/>
                <w:sz w:val="20"/>
                <w:szCs w:val="20"/>
              </w:rPr>
              <w:t>Tutoring is offered at specific times throughout the week. Additional tutoring is offered by other math teachers and can be found on the NPHS website or posed outside my door.</w:t>
            </w:r>
          </w:p>
          <w:p w14:paraId="5A588E79" w14:textId="77777777" w:rsidR="000B6192" w:rsidRPr="00440576" w:rsidRDefault="000B6192" w:rsidP="007920A3">
            <w:pPr>
              <w:numPr>
                <w:ilvl w:val="0"/>
                <w:numId w:val="11"/>
              </w:numPr>
              <w:rPr>
                <w:rFonts w:ascii="Comic Sans MS" w:hAnsi="Comic Sans MS" w:cs="Arial"/>
                <w:sz w:val="20"/>
                <w:szCs w:val="20"/>
                <w:u w:val="single"/>
              </w:rPr>
            </w:pPr>
            <w:r w:rsidRPr="00440576">
              <w:rPr>
                <w:rFonts w:asciiTheme="majorHAnsi" w:hAnsiTheme="majorHAnsi"/>
                <w:sz w:val="20"/>
                <w:szCs w:val="20"/>
              </w:rPr>
              <w:t>I am willing to assist any student who feels the need for extra help.  However, if a student has not utilized class wisely or is not utilizing tutoring time wisely, then the student will be asked to leave. Please come to help sessions prepared with specific questions.</w:t>
            </w:r>
          </w:p>
        </w:tc>
      </w:tr>
    </w:tbl>
    <w:p w14:paraId="543C6C0D" w14:textId="77777777" w:rsidR="000B6192" w:rsidRDefault="000B6192" w:rsidP="00127AEA">
      <w:pPr>
        <w:rPr>
          <w:rFonts w:asciiTheme="majorHAnsi" w:hAnsiTheme="majorHAnsi"/>
          <w:b/>
          <w:noProof/>
          <w:sz w:val="28"/>
        </w:rPr>
      </w:pPr>
    </w:p>
    <w:sectPr w:rsidR="000B6192" w:rsidSect="004273ED">
      <w:pgSz w:w="12240" w:h="15840"/>
      <w:pgMar w:top="630" w:right="1170" w:bottom="63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E3D86"/>
    <w:multiLevelType w:val="hybridMultilevel"/>
    <w:tmpl w:val="DA800A08"/>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7D35B5"/>
    <w:multiLevelType w:val="hybridMultilevel"/>
    <w:tmpl w:val="BE74DC0E"/>
    <w:lvl w:ilvl="0" w:tplc="573056F8">
      <w:numFmt w:val="bullet"/>
      <w:lvlText w:val=""/>
      <w:lvlJc w:val="left"/>
      <w:pPr>
        <w:ind w:left="1605" w:hanging="525"/>
      </w:pPr>
      <w:rPr>
        <w:rFonts w:ascii="Symbol" w:eastAsia="Times New Roman"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87C2291"/>
    <w:multiLevelType w:val="hybridMultilevel"/>
    <w:tmpl w:val="95B82B20"/>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A50653"/>
    <w:multiLevelType w:val="hybridMultilevel"/>
    <w:tmpl w:val="62ACC3D4"/>
    <w:lvl w:ilvl="0" w:tplc="35382CF0">
      <w:numFmt w:val="bullet"/>
      <w:lvlText w:val=""/>
      <w:lvlJc w:val="left"/>
      <w:pPr>
        <w:tabs>
          <w:tab w:val="num" w:pos="1620"/>
        </w:tabs>
        <w:ind w:left="1620" w:hanging="540"/>
      </w:pPr>
      <w:rPr>
        <w:rFonts w:ascii="Symbol" w:eastAsia="Times New Roman" w:hAnsi="Symbol"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E6B19CA"/>
    <w:multiLevelType w:val="hybridMultilevel"/>
    <w:tmpl w:val="FABC9EDE"/>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0C13502"/>
    <w:multiLevelType w:val="hybridMultilevel"/>
    <w:tmpl w:val="85D23B68"/>
    <w:lvl w:ilvl="0" w:tplc="573056F8">
      <w:numFmt w:val="bullet"/>
      <w:lvlText w:val=""/>
      <w:lvlJc w:val="left"/>
      <w:pPr>
        <w:ind w:left="1605" w:hanging="525"/>
      </w:pPr>
      <w:rPr>
        <w:rFonts w:ascii="Symbol" w:eastAsia="Times New Roman"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6551ED8"/>
    <w:multiLevelType w:val="hybridMultilevel"/>
    <w:tmpl w:val="D6ECB24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24478E"/>
    <w:multiLevelType w:val="hybridMultilevel"/>
    <w:tmpl w:val="7224292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3BB2630A"/>
    <w:multiLevelType w:val="hybridMultilevel"/>
    <w:tmpl w:val="8F868F2A"/>
    <w:lvl w:ilvl="0" w:tplc="573056F8">
      <w:numFmt w:val="bullet"/>
      <w:lvlText w:val=""/>
      <w:lvlJc w:val="left"/>
      <w:pPr>
        <w:ind w:left="1605" w:hanging="525"/>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0D065F"/>
    <w:multiLevelType w:val="hybridMultilevel"/>
    <w:tmpl w:val="72024E6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847268"/>
    <w:multiLevelType w:val="hybridMultilevel"/>
    <w:tmpl w:val="BAB2B272"/>
    <w:lvl w:ilvl="0" w:tplc="BC14D512">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72C144B"/>
    <w:multiLevelType w:val="hybridMultilevel"/>
    <w:tmpl w:val="579ED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3C56B7"/>
    <w:multiLevelType w:val="hybridMultilevel"/>
    <w:tmpl w:val="DC1A4B46"/>
    <w:lvl w:ilvl="0" w:tplc="04090003">
      <w:start w:val="1"/>
      <w:numFmt w:val="bullet"/>
      <w:lvlText w:val="o"/>
      <w:lvlJc w:val="left"/>
      <w:pPr>
        <w:ind w:left="900" w:hanging="360"/>
      </w:pPr>
      <w:rPr>
        <w:rFonts w:ascii="Courier New" w:hAnsi="Courier New" w:cs="Courier New"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3" w15:restartNumberingAfterBreak="0">
    <w:nsid w:val="510B52B3"/>
    <w:multiLevelType w:val="hybridMultilevel"/>
    <w:tmpl w:val="E654BF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89223D6"/>
    <w:multiLevelType w:val="hybridMultilevel"/>
    <w:tmpl w:val="164E27A8"/>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A117688"/>
    <w:multiLevelType w:val="hybridMultilevel"/>
    <w:tmpl w:val="7F742894"/>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F102776"/>
    <w:multiLevelType w:val="hybridMultilevel"/>
    <w:tmpl w:val="4BD459D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71738FD"/>
    <w:multiLevelType w:val="hybridMultilevel"/>
    <w:tmpl w:val="FBE40C7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68A55352"/>
    <w:multiLevelType w:val="hybridMultilevel"/>
    <w:tmpl w:val="81AC101A"/>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95A7142"/>
    <w:multiLevelType w:val="hybridMultilevel"/>
    <w:tmpl w:val="66ECDDF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2DD6B09"/>
    <w:multiLevelType w:val="hybridMultilevel"/>
    <w:tmpl w:val="457E51D2"/>
    <w:lvl w:ilvl="0" w:tplc="573056F8">
      <w:numFmt w:val="bullet"/>
      <w:lvlText w:val=""/>
      <w:lvlJc w:val="left"/>
      <w:pPr>
        <w:ind w:left="1605" w:hanging="525"/>
      </w:pPr>
      <w:rPr>
        <w:rFonts w:ascii="Symbol" w:eastAsia="Times New Roman"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48679D4"/>
    <w:multiLevelType w:val="hybridMultilevel"/>
    <w:tmpl w:val="7ECAA6BE"/>
    <w:lvl w:ilvl="0" w:tplc="52C84088">
      <w:start w:val="1"/>
      <w:numFmt w:val="decimal"/>
      <w:lvlText w:val="%1."/>
      <w:lvlJc w:val="left"/>
      <w:pPr>
        <w:ind w:left="1800" w:hanging="360"/>
      </w:pPr>
      <w:rPr>
        <w:rFonts w:asciiTheme="majorHAnsi" w:hAnsiTheme="majorHAnsi" w:hint="default"/>
        <w:b w:val="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3"/>
  </w:num>
  <w:num w:numId="2">
    <w:abstractNumId w:val="1"/>
  </w:num>
  <w:num w:numId="3">
    <w:abstractNumId w:val="17"/>
  </w:num>
  <w:num w:numId="4">
    <w:abstractNumId w:val="5"/>
  </w:num>
  <w:num w:numId="5">
    <w:abstractNumId w:val="8"/>
  </w:num>
  <w:num w:numId="6">
    <w:abstractNumId w:val="20"/>
  </w:num>
  <w:num w:numId="7">
    <w:abstractNumId w:val="14"/>
  </w:num>
  <w:num w:numId="8">
    <w:abstractNumId w:val="11"/>
  </w:num>
  <w:num w:numId="9">
    <w:abstractNumId w:val="15"/>
  </w:num>
  <w:num w:numId="10">
    <w:abstractNumId w:val="0"/>
  </w:num>
  <w:num w:numId="11">
    <w:abstractNumId w:val="2"/>
  </w:num>
  <w:num w:numId="12">
    <w:abstractNumId w:val="18"/>
  </w:num>
  <w:num w:numId="13">
    <w:abstractNumId w:val="16"/>
  </w:num>
  <w:num w:numId="14">
    <w:abstractNumId w:val="19"/>
  </w:num>
  <w:num w:numId="15">
    <w:abstractNumId w:val="12"/>
  </w:num>
  <w:num w:numId="16">
    <w:abstractNumId w:val="9"/>
  </w:num>
  <w:num w:numId="17">
    <w:abstractNumId w:val="7"/>
  </w:num>
  <w:num w:numId="18">
    <w:abstractNumId w:val="10"/>
  </w:num>
  <w:num w:numId="19">
    <w:abstractNumId w:val="4"/>
  </w:num>
  <w:num w:numId="20">
    <w:abstractNumId w:val="21"/>
  </w:num>
  <w:num w:numId="21">
    <w:abstractNumId w:val="13"/>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AEA"/>
    <w:rsid w:val="000977B9"/>
    <w:rsid w:val="000B6192"/>
    <w:rsid w:val="000C2274"/>
    <w:rsid w:val="001258CF"/>
    <w:rsid w:val="00127AEA"/>
    <w:rsid w:val="0014677F"/>
    <w:rsid w:val="00275A16"/>
    <w:rsid w:val="00364413"/>
    <w:rsid w:val="003741A5"/>
    <w:rsid w:val="00402D88"/>
    <w:rsid w:val="00424E37"/>
    <w:rsid w:val="004273ED"/>
    <w:rsid w:val="00440576"/>
    <w:rsid w:val="004507E6"/>
    <w:rsid w:val="00490467"/>
    <w:rsid w:val="004B0101"/>
    <w:rsid w:val="004D19D9"/>
    <w:rsid w:val="004D52B8"/>
    <w:rsid w:val="004E274E"/>
    <w:rsid w:val="00533A27"/>
    <w:rsid w:val="00544CBB"/>
    <w:rsid w:val="005B0EC2"/>
    <w:rsid w:val="005B5D4F"/>
    <w:rsid w:val="005D04A4"/>
    <w:rsid w:val="006016C0"/>
    <w:rsid w:val="00692137"/>
    <w:rsid w:val="006A64EC"/>
    <w:rsid w:val="006B059C"/>
    <w:rsid w:val="006E116D"/>
    <w:rsid w:val="00747E63"/>
    <w:rsid w:val="007560D7"/>
    <w:rsid w:val="007920A3"/>
    <w:rsid w:val="007D15A5"/>
    <w:rsid w:val="007D2392"/>
    <w:rsid w:val="008351DF"/>
    <w:rsid w:val="008375CF"/>
    <w:rsid w:val="008474BB"/>
    <w:rsid w:val="008D48F7"/>
    <w:rsid w:val="00905698"/>
    <w:rsid w:val="00924C0D"/>
    <w:rsid w:val="009A1D79"/>
    <w:rsid w:val="00A531EB"/>
    <w:rsid w:val="00A557D0"/>
    <w:rsid w:val="00B2193B"/>
    <w:rsid w:val="00B702BF"/>
    <w:rsid w:val="00BD0799"/>
    <w:rsid w:val="00BD096D"/>
    <w:rsid w:val="00C2025B"/>
    <w:rsid w:val="00C41791"/>
    <w:rsid w:val="00C6018C"/>
    <w:rsid w:val="00C67F3E"/>
    <w:rsid w:val="00C817BB"/>
    <w:rsid w:val="00D06F3B"/>
    <w:rsid w:val="00D176B7"/>
    <w:rsid w:val="00E4289B"/>
    <w:rsid w:val="00F41D27"/>
    <w:rsid w:val="00F83BD7"/>
    <w:rsid w:val="00FC79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1A0FAA"/>
  <w15:docId w15:val="{B2466E28-2F24-4E03-BFA3-CC6F205F8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544CBB"/>
    <w:rPr>
      <w:sz w:val="24"/>
      <w:szCs w:val="24"/>
    </w:rPr>
  </w:style>
  <w:style w:type="paragraph" w:styleId="Heading5">
    <w:name w:val="heading 5"/>
    <w:basedOn w:val="Normal"/>
    <w:next w:val="Normal"/>
    <w:link w:val="Heading5Char"/>
    <w:qFormat/>
    <w:rsid w:val="000B6192"/>
    <w:pPr>
      <w:keepNext/>
      <w:ind w:right="-36"/>
      <w:outlineLvl w:val="4"/>
    </w:pPr>
    <w:rPr>
      <w:b/>
      <w:bC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127AEA"/>
    <w:pPr>
      <w:spacing w:before="100" w:beforeAutospacing="1" w:after="100" w:afterAutospacing="1"/>
    </w:pPr>
  </w:style>
  <w:style w:type="character" w:styleId="Strong">
    <w:name w:val="Strong"/>
    <w:basedOn w:val="DefaultParagraphFont"/>
    <w:qFormat/>
    <w:rsid w:val="00127AEA"/>
    <w:rPr>
      <w:b/>
      <w:bCs/>
    </w:rPr>
  </w:style>
  <w:style w:type="paragraph" w:styleId="BodyText">
    <w:name w:val="Body Text"/>
    <w:basedOn w:val="Normal"/>
    <w:rsid w:val="00127AEA"/>
    <w:pPr>
      <w:spacing w:before="100" w:beforeAutospacing="1" w:after="100" w:afterAutospacing="1"/>
    </w:pPr>
  </w:style>
  <w:style w:type="paragraph" w:styleId="BodyTextIndent2">
    <w:name w:val="Body Text Indent 2"/>
    <w:basedOn w:val="Normal"/>
    <w:rsid w:val="00127AEA"/>
    <w:pPr>
      <w:spacing w:before="100" w:beforeAutospacing="1" w:after="100" w:afterAutospacing="1"/>
    </w:pPr>
  </w:style>
  <w:style w:type="paragraph" w:customStyle="1" w:styleId="Default">
    <w:name w:val="Default"/>
    <w:rsid w:val="000B6192"/>
    <w:pPr>
      <w:autoSpaceDE w:val="0"/>
      <w:autoSpaceDN w:val="0"/>
      <w:adjustRightInd w:val="0"/>
    </w:pPr>
    <w:rPr>
      <w:color w:val="000000"/>
      <w:sz w:val="24"/>
      <w:szCs w:val="24"/>
    </w:rPr>
  </w:style>
  <w:style w:type="character" w:customStyle="1" w:styleId="Heading5Char">
    <w:name w:val="Heading 5 Char"/>
    <w:basedOn w:val="DefaultParagraphFont"/>
    <w:link w:val="Heading5"/>
    <w:rsid w:val="000B6192"/>
    <w:rPr>
      <w:b/>
      <w:bCs/>
      <w:sz w:val="24"/>
      <w:u w:val="single"/>
    </w:rPr>
  </w:style>
  <w:style w:type="table" w:styleId="TableGrid">
    <w:name w:val="Table Grid"/>
    <w:basedOn w:val="TableNormal"/>
    <w:rsid w:val="000B61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0B6192"/>
    <w:rPr>
      <w:color w:val="0000FF" w:themeColor="hyperlink"/>
      <w:u w:val="single"/>
    </w:rPr>
  </w:style>
  <w:style w:type="paragraph" w:styleId="ListParagraph">
    <w:name w:val="List Paragraph"/>
    <w:basedOn w:val="Normal"/>
    <w:uiPriority w:val="34"/>
    <w:qFormat/>
    <w:rsid w:val="007560D7"/>
    <w:pPr>
      <w:ind w:left="720"/>
      <w:contextualSpacing/>
    </w:pPr>
  </w:style>
  <w:style w:type="character" w:styleId="Mention">
    <w:name w:val="Mention"/>
    <w:basedOn w:val="DefaultParagraphFont"/>
    <w:uiPriority w:val="99"/>
    <w:semiHidden/>
    <w:unhideWhenUsed/>
    <w:rsid w:val="00402D8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2243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ggardener@paudling.k12.ga.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466</Words>
  <Characters>2662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Math I</vt:lpstr>
    </vt:vector>
  </TitlesOfParts>
  <Company>Paulding Board of Education</Company>
  <LinksUpToDate>false</LinksUpToDate>
  <CharactersWithSpaces>3122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 I</dc:title>
  <dc:subject/>
  <dc:creator>Paulding</dc:creator>
  <cp:keywords/>
  <dc:description/>
  <cp:lastModifiedBy>Geoffrey K. Gardener</cp:lastModifiedBy>
  <cp:revision>7</cp:revision>
  <cp:lastPrinted>2014-07-31T19:59:00Z</cp:lastPrinted>
  <dcterms:created xsi:type="dcterms:W3CDTF">2016-07-27T15:12:00Z</dcterms:created>
  <dcterms:modified xsi:type="dcterms:W3CDTF">2018-07-31T19:22:00Z</dcterms:modified>
</cp:coreProperties>
</file>